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093" w:rsidRPr="00C15093" w:rsidRDefault="00C15093" w:rsidP="00C15093">
      <w:pPr>
        <w:autoSpaceDE w:val="0"/>
        <w:autoSpaceDN w:val="0"/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</w:pPr>
      <w:bookmarkStart w:id="0" w:name="_GoBack"/>
      <w:bookmarkEnd w:id="0"/>
      <w:r w:rsidRPr="00C15093">
        <w:rPr>
          <w:rFonts w:asciiTheme="majorHAnsi" w:eastAsia="Times New Roman" w:hAnsiTheme="majorHAnsi" w:cs="Times New Roman"/>
          <w:b/>
          <w:sz w:val="22"/>
          <w:szCs w:val="20"/>
          <w:lang w:eastAsia="cs-CZ"/>
        </w:rPr>
        <w:t>Příloha č. 1a Kupní smlouvy – Bližší specifikace předmětu koupě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sz w:val="22"/>
          <w:szCs w:val="22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2"/>
          <w:lang w:eastAsia="cs-CZ"/>
        </w:rPr>
      </w:pPr>
      <w:r w:rsidRPr="00C15093">
        <w:rPr>
          <w:rFonts w:eastAsia="Times New Roman" w:cs="Times New Roman"/>
          <w:szCs w:val="22"/>
          <w:lang w:eastAsia="cs-CZ"/>
        </w:rPr>
        <w:t xml:space="preserve">Předmětem zakázky je dodávka </w:t>
      </w:r>
      <w:r w:rsidRPr="00C15093">
        <w:rPr>
          <w:rFonts w:eastAsia="Times New Roman" w:cs="Times New Roman"/>
          <w:b/>
          <w:szCs w:val="22"/>
          <w:lang w:eastAsia="cs-CZ"/>
        </w:rPr>
        <w:t>65 ks</w:t>
      </w:r>
      <w:r w:rsidRPr="00C15093">
        <w:rPr>
          <w:rFonts w:eastAsia="Times New Roman" w:cs="Times New Roman"/>
          <w:szCs w:val="22"/>
          <w:lang w:eastAsia="cs-CZ"/>
        </w:rPr>
        <w:t xml:space="preserve"> zařízení na přepravu kolejnic </w:t>
      </w:r>
      <w:r w:rsidRPr="00C15093">
        <w:rPr>
          <w:rFonts w:eastAsia="Times New Roman" w:cs="Times New Roman"/>
          <w:b/>
          <w:szCs w:val="22"/>
          <w:lang w:eastAsia="cs-CZ"/>
        </w:rPr>
        <w:t>ZPK</w:t>
      </w:r>
      <w:r w:rsidRPr="00C15093">
        <w:rPr>
          <w:rFonts w:eastAsia="Times New Roman" w:cs="Times New Roman"/>
          <w:szCs w:val="22"/>
          <w:lang w:eastAsia="cs-CZ"/>
        </w:rPr>
        <w:t xml:space="preserve"> a </w:t>
      </w:r>
      <w:r w:rsidRPr="00C15093">
        <w:rPr>
          <w:rFonts w:eastAsia="Times New Roman" w:cs="Times New Roman"/>
          <w:b/>
          <w:szCs w:val="22"/>
          <w:lang w:eastAsia="cs-CZ"/>
        </w:rPr>
        <w:t>22 ks</w:t>
      </w:r>
      <w:r w:rsidRPr="00C15093">
        <w:rPr>
          <w:rFonts w:eastAsia="Times New Roman" w:cs="Times New Roman"/>
          <w:szCs w:val="22"/>
          <w:lang w:eastAsia="cs-CZ"/>
        </w:rPr>
        <w:t xml:space="preserve"> </w:t>
      </w:r>
      <w:r w:rsidRPr="00C15093">
        <w:rPr>
          <w:rFonts w:eastAsia="Times New Roman" w:cs="Times New Roman"/>
          <w:b/>
          <w:szCs w:val="22"/>
          <w:lang w:eastAsia="cs-CZ"/>
        </w:rPr>
        <w:t>táhel</w:t>
      </w:r>
      <w:r w:rsidRPr="00C15093">
        <w:rPr>
          <w:rFonts w:eastAsia="Times New Roman" w:cs="Times New Roman"/>
          <w:szCs w:val="22"/>
          <w:lang w:eastAsia="cs-CZ"/>
        </w:rPr>
        <w:t xml:space="preserve"> pro spojení s tažným vozidlem typu MUV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Předmět koupě musí splňovat následující parametry: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eastAsia="Times New Roman" w:cs="Times New Roman"/>
          <w:b/>
          <w:sz w:val="24"/>
          <w:szCs w:val="22"/>
          <w:u w:val="single"/>
          <w:lang w:eastAsia="cs-CZ"/>
        </w:rPr>
      </w:pP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  <w:u w:val="single"/>
        </w:rPr>
      </w:pPr>
      <w:r w:rsidRPr="00FF4976">
        <w:rPr>
          <w:rFonts w:ascii="Verdana" w:eastAsia="Verdana" w:hAnsi="Verdana" w:cs="Times New Roman"/>
          <w:u w:val="single"/>
        </w:rPr>
        <w:t>Předmět veřejné zakázky musí splňovat následující parametry:</w:t>
      </w: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</w:rPr>
      </w:pPr>
    </w:p>
    <w:p w:rsidR="00FF4976" w:rsidRPr="00FF4976" w:rsidRDefault="00FF4976" w:rsidP="00FF4976">
      <w:pPr>
        <w:numPr>
          <w:ilvl w:val="0"/>
          <w:numId w:val="34"/>
        </w:numPr>
        <w:spacing w:after="0"/>
        <w:contextualSpacing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 xml:space="preserve">každý </w:t>
      </w:r>
      <w:r w:rsidRPr="00FF4976">
        <w:rPr>
          <w:rFonts w:ascii="Verdana" w:eastAsia="Verdana" w:hAnsi="Verdana" w:cs="Times New Roman"/>
          <w:b/>
        </w:rPr>
        <w:t>čtyřkolový podvozek</w:t>
      </w:r>
      <w:r w:rsidRPr="00FF4976">
        <w:rPr>
          <w:rFonts w:ascii="Verdana" w:eastAsia="Verdana" w:hAnsi="Verdana" w:cs="Times New Roman"/>
        </w:rPr>
        <w:t xml:space="preserve"> bude vybaven 4 závěsy pro zavěšení přepravovaných kolejnic:</w:t>
      </w: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>• maximální rychlost 30 km/h, přes výhybky 5 km/h,</w:t>
      </w: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>• rozchod 1435 mm,</w:t>
      </w: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>• nosnost podvozku minimálně 3000 kg,</w:t>
      </w: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>• průměr kol 250 mm,</w:t>
      </w: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>• podvozek nebržděný,</w:t>
      </w:r>
    </w:p>
    <w:p w:rsidR="00FF4976" w:rsidRPr="00FF4976" w:rsidRDefault="00FF4976" w:rsidP="00FF4976">
      <w:pPr>
        <w:spacing w:after="0"/>
        <w:ind w:left="709" w:hanging="142"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>• zařízení na přepravu kolejnic budou dodána včetně odnímatelných přenosných jeřábků a rámu umožňující zdvih a posun kolejnic,</w:t>
      </w: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>• nosnost přenosného jeřábku minimálně 650 kg,</w:t>
      </w: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>• hmotnost přenosného jeřábku s rámem maximálně 80 kg,</w:t>
      </w: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>• záruka min. 24 měsíců</w:t>
      </w: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>• autorizovaný servis dostupný na území ČR</w:t>
      </w:r>
    </w:p>
    <w:p w:rsidR="00FF4976" w:rsidRPr="00FF4976" w:rsidRDefault="00FF4976" w:rsidP="00FF4976">
      <w:pPr>
        <w:spacing w:after="0"/>
        <w:ind w:left="567"/>
        <w:rPr>
          <w:rFonts w:ascii="Verdana" w:eastAsia="Verdana" w:hAnsi="Verdana" w:cs="Times New Roman"/>
        </w:rPr>
      </w:pPr>
    </w:p>
    <w:p w:rsidR="00FF4976" w:rsidRPr="00FF4976" w:rsidRDefault="00FF4976" w:rsidP="00FF4976">
      <w:pPr>
        <w:numPr>
          <w:ilvl w:val="0"/>
          <w:numId w:val="34"/>
        </w:numPr>
        <w:spacing w:after="0"/>
        <w:contextualSpacing/>
        <w:rPr>
          <w:rFonts w:ascii="Verdana" w:eastAsia="Verdana" w:hAnsi="Verdana" w:cs="Times New Roman"/>
        </w:rPr>
      </w:pPr>
      <w:r w:rsidRPr="00FF4976">
        <w:rPr>
          <w:rFonts w:ascii="Verdana" w:eastAsia="Verdana" w:hAnsi="Verdana" w:cs="Times New Roman"/>
        </w:rPr>
        <w:t xml:space="preserve">dodání </w:t>
      </w:r>
      <w:r w:rsidRPr="00FF4976">
        <w:rPr>
          <w:rFonts w:ascii="Verdana" w:eastAsia="Verdana" w:hAnsi="Verdana" w:cs="Times New Roman"/>
          <w:b/>
        </w:rPr>
        <w:t>22 ks táhel</w:t>
      </w:r>
      <w:r w:rsidRPr="00FF4976">
        <w:rPr>
          <w:rFonts w:ascii="Verdana" w:eastAsia="Verdana" w:hAnsi="Verdana" w:cs="Times New Roman"/>
        </w:rPr>
        <w:t xml:space="preserve"> pro spojení s tažným vozidlem typu MUV.</w:t>
      </w:r>
    </w:p>
    <w:p w:rsidR="00C15093" w:rsidRPr="00C15093" w:rsidRDefault="00FF4976" w:rsidP="00FF4976">
      <w:pPr>
        <w:autoSpaceDE w:val="0"/>
        <w:autoSpaceDN w:val="0"/>
        <w:spacing w:after="0" w:line="240" w:lineRule="auto"/>
        <w:ind w:left="567"/>
        <w:rPr>
          <w:rFonts w:eastAsia="Times New Roman" w:cs="Times New Roman"/>
          <w:sz w:val="24"/>
          <w:szCs w:val="22"/>
          <w:lang w:eastAsia="cs-CZ"/>
        </w:rPr>
      </w:pPr>
      <w:r w:rsidRPr="00FF4976">
        <w:rPr>
          <w:rFonts w:ascii="Verdana" w:eastAsia="Verdana" w:hAnsi="Verdana" w:cs="Times New Roman"/>
        </w:rPr>
        <w:t>• záruka min. 24 měsíců</w:t>
      </w: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2"/>
          <w:lang w:eastAsia="cs-CZ"/>
        </w:rPr>
      </w:pPr>
    </w:p>
    <w:p w:rsidR="00C15093" w:rsidRDefault="00C15093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</w:pPr>
      <w:r w:rsidRPr="00C15093">
        <w:rPr>
          <w:rFonts w:asciiTheme="majorHAnsi" w:eastAsia="Times New Roman" w:hAnsiTheme="majorHAnsi" w:cs="Times New Roman"/>
          <w:b/>
          <w:sz w:val="22"/>
          <w:szCs w:val="22"/>
          <w:u w:val="single"/>
          <w:lang w:eastAsia="cs-CZ"/>
        </w:rPr>
        <w:t>Místa dodání předmětu koupě:</w:t>
      </w:r>
    </w:p>
    <w:p w:rsidR="00804D45" w:rsidRPr="00C15093" w:rsidRDefault="00804D45" w:rsidP="00C15093">
      <w:pPr>
        <w:autoSpaceDE w:val="0"/>
        <w:autoSpaceDN w:val="0"/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2"/>
          <w:u w:val="single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2"/>
          <w:lang w:eastAsia="cs-CZ"/>
        </w:rPr>
      </w:pPr>
    </w:p>
    <w:tbl>
      <w:tblPr>
        <w:tblW w:w="9814" w:type="dxa"/>
        <w:jc w:val="center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6"/>
        <w:gridCol w:w="4079"/>
        <w:gridCol w:w="1405"/>
        <w:gridCol w:w="1204"/>
      </w:tblGrid>
      <w:tr w:rsidR="00C15093" w:rsidRPr="00C15093" w:rsidTr="00804D45">
        <w:trPr>
          <w:trHeight w:val="567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Název organizační jednotky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Adresa*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Počet kusů ZPK + podvozků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/>
                <w:bCs/>
                <w:sz w:val="22"/>
                <w:szCs w:val="22"/>
                <w:lang w:eastAsia="cs-CZ"/>
              </w:rPr>
              <w:t>Počet táhel</w:t>
            </w:r>
          </w:p>
        </w:tc>
      </w:tr>
      <w:tr w:rsidR="00C15093" w:rsidRPr="00C15093" w:rsidTr="00804D45">
        <w:tblPrEx>
          <w:tblLook w:val="04A0" w:firstRow="1" w:lastRow="0" w:firstColumn="1" w:lastColumn="0" w:noHBand="0" w:noVBand="1"/>
        </w:tblPrEx>
        <w:trPr>
          <w:trHeight w:val="614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Praha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Partyzánská 1504/24, 170 00 Praha 7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6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2</w:t>
            </w:r>
          </w:p>
        </w:tc>
      </w:tr>
      <w:tr w:rsidR="00C15093" w:rsidRPr="00C15093" w:rsidTr="00804D45">
        <w:trPr>
          <w:trHeight w:val="550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Hradec Králové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 xml:space="preserve">U </w:t>
            </w:r>
            <w:proofErr w:type="spellStart"/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Fotochemy</w:t>
            </w:r>
            <w:proofErr w:type="spellEnd"/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 xml:space="preserve"> 259, 501 01 Hradec Králové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8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3</w:t>
            </w:r>
          </w:p>
        </w:tc>
      </w:tr>
      <w:tr w:rsidR="00C15093" w:rsidRPr="00C15093" w:rsidTr="00804D45">
        <w:trPr>
          <w:trHeight w:val="550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Ostrava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Muglinovská 1038/5, 702 00 Ostrava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3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1</w:t>
            </w:r>
          </w:p>
        </w:tc>
      </w:tr>
      <w:tr w:rsidR="00C15093" w:rsidRPr="00C15093" w:rsidTr="00804D45">
        <w:trPr>
          <w:trHeight w:val="550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Ústí nad Labem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Železničářská 1386/31, 400 03 Ústí nad Labem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15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5</w:t>
            </w:r>
          </w:p>
        </w:tc>
      </w:tr>
      <w:tr w:rsidR="00C15093" w:rsidRPr="00C15093" w:rsidTr="00804D45">
        <w:trPr>
          <w:trHeight w:val="550"/>
          <w:jc w:val="center"/>
        </w:trPr>
        <w:tc>
          <w:tcPr>
            <w:tcW w:w="3175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Oblastní ředitelství Plzeň</w:t>
            </w:r>
          </w:p>
        </w:tc>
        <w:tc>
          <w:tcPr>
            <w:tcW w:w="4166" w:type="dxa"/>
            <w:shd w:val="clear" w:color="auto" w:fill="auto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Sušická 1168/23, 326 00 Plzeň</w:t>
            </w:r>
          </w:p>
        </w:tc>
        <w:tc>
          <w:tcPr>
            <w:tcW w:w="1259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33</w:t>
            </w:r>
          </w:p>
        </w:tc>
        <w:tc>
          <w:tcPr>
            <w:tcW w:w="1214" w:type="dxa"/>
            <w:vAlign w:val="center"/>
          </w:tcPr>
          <w:p w:rsidR="00C15093" w:rsidRPr="00C15093" w:rsidRDefault="00C15093" w:rsidP="00804D4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Cs/>
                <w:iCs/>
                <w:szCs w:val="22"/>
                <w:lang w:eastAsia="cs-CZ"/>
              </w:rPr>
            </w:pPr>
            <w:r w:rsidRPr="00C15093">
              <w:rPr>
                <w:rFonts w:eastAsia="Times New Roman" w:cs="Times New Roman"/>
                <w:bCs/>
                <w:iCs/>
                <w:szCs w:val="22"/>
                <w:lang w:eastAsia="cs-CZ"/>
              </w:rPr>
              <w:t>11</w:t>
            </w:r>
          </w:p>
        </w:tc>
      </w:tr>
    </w:tbl>
    <w:p w:rsidR="00C15093" w:rsidRPr="00C15093" w:rsidRDefault="00C15093" w:rsidP="00804D45">
      <w:pPr>
        <w:widowControl w:val="0"/>
        <w:autoSpaceDE w:val="0"/>
        <w:autoSpaceDN w:val="0"/>
        <w:adjustRightInd w:val="0"/>
        <w:spacing w:before="120" w:after="0" w:line="276" w:lineRule="auto"/>
        <w:ind w:left="284" w:hanging="851"/>
        <w:textAlignment w:val="baseline"/>
        <w:rPr>
          <w:rFonts w:ascii="Calibri" w:eastAsia="Times New Roman" w:hAnsi="Calibri" w:cs="Arial"/>
          <w:bCs/>
          <w:sz w:val="22"/>
          <w:szCs w:val="20"/>
          <w:lang w:eastAsia="cs-CZ"/>
        </w:rPr>
      </w:pPr>
      <w:r w:rsidRPr="00C15093">
        <w:rPr>
          <w:rFonts w:ascii="Calibri" w:eastAsia="Times New Roman" w:hAnsi="Calibri" w:cs="Times New Roman"/>
          <w:bCs/>
          <w:sz w:val="22"/>
          <w:szCs w:val="22"/>
          <w:lang w:eastAsia="cs-CZ"/>
        </w:rPr>
        <w:t xml:space="preserve">  </w:t>
      </w:r>
      <w:r w:rsidRPr="00C15093">
        <w:rPr>
          <w:rFonts w:eastAsia="Times New Roman" w:cs="Times New Roman"/>
          <w:bCs/>
          <w:i/>
          <w:szCs w:val="22"/>
          <w:lang w:eastAsia="cs-CZ"/>
        </w:rPr>
        <w:t>*Adresa místa plnění může být změněna na základě aktuální potřeby každého oblastního ředitelství.</w:t>
      </w:r>
    </w:p>
    <w:p w:rsidR="00C15093" w:rsidRPr="00C15093" w:rsidRDefault="00C15093" w:rsidP="00C15093">
      <w:pPr>
        <w:widowControl w:val="0"/>
        <w:autoSpaceDE w:val="0"/>
        <w:autoSpaceDN w:val="0"/>
        <w:adjustRightInd w:val="0"/>
        <w:spacing w:after="0" w:line="360" w:lineRule="atLeast"/>
        <w:ind w:left="567"/>
        <w:jc w:val="both"/>
        <w:textAlignment w:val="baseline"/>
        <w:rPr>
          <w:rFonts w:ascii="Calibri" w:eastAsia="Times New Roman" w:hAnsi="Calibri" w:cs="Arial"/>
          <w:bCs/>
          <w:sz w:val="22"/>
          <w:szCs w:val="20"/>
          <w:lang w:eastAsia="cs-CZ"/>
        </w:rPr>
      </w:pPr>
    </w:p>
    <w:p w:rsidR="00C15093" w:rsidRPr="00C15093" w:rsidRDefault="00C15093" w:rsidP="00C15093">
      <w:pPr>
        <w:autoSpaceDE w:val="0"/>
        <w:autoSpaceDN w:val="0"/>
        <w:spacing w:after="0" w:line="240" w:lineRule="auto"/>
        <w:rPr>
          <w:rFonts w:ascii="Calibri" w:eastAsia="Times New Roman" w:hAnsi="Calibri" w:cs="Times New Roman"/>
          <w:sz w:val="24"/>
          <w:szCs w:val="22"/>
          <w:lang w:eastAsia="cs-CZ"/>
        </w:rPr>
      </w:pPr>
    </w:p>
    <w:p w:rsidR="009F392E" w:rsidRPr="00C15093" w:rsidRDefault="009F392E" w:rsidP="00C15093"/>
    <w:sectPr w:rsidR="009F392E" w:rsidRPr="00C15093" w:rsidSect="00C15093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75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1C5" w:rsidRDefault="003C51C5" w:rsidP="00962258">
      <w:pPr>
        <w:spacing w:after="0" w:line="240" w:lineRule="auto"/>
      </w:pPr>
      <w:r>
        <w:separator/>
      </w:r>
    </w:p>
  </w:endnote>
  <w:endnote w:type="continuationSeparator" w:id="0">
    <w:p w:rsidR="003C51C5" w:rsidRDefault="003C51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509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1D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7B52AA" wp14:editId="001F4B2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B92F9B3" wp14:editId="60821C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1D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1D8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940D122" wp14:editId="26A3F1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70AD0B" wp14:editId="4FAB7A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1C5" w:rsidRDefault="003C51C5" w:rsidP="00962258">
      <w:pPr>
        <w:spacing w:after="0" w:line="240" w:lineRule="auto"/>
      </w:pPr>
      <w:r>
        <w:separator/>
      </w:r>
    </w:p>
  </w:footnote>
  <w:footnote w:type="continuationSeparator" w:id="0">
    <w:p w:rsidR="003C51C5" w:rsidRDefault="003C51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C15093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11D0B54" wp14:editId="324879E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2F8E2013"/>
    <w:multiLevelType w:val="hybridMultilevel"/>
    <w:tmpl w:val="78524E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1C5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51C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A0D3B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4D45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41D8D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5093"/>
    <w:rsid w:val="00C44F6A"/>
    <w:rsid w:val="00C47AE3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F4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F4976"/>
    <w:rPr>
      <w:sz w:val="16"/>
      <w:szCs w:val="16"/>
    </w:rPr>
  </w:style>
  <w:style w:type="paragraph" w:customStyle="1" w:styleId="Textkomente1">
    <w:name w:val="Text komentáře1"/>
    <w:basedOn w:val="Normln"/>
    <w:next w:val="Textkomente"/>
    <w:link w:val="TextkomenteChar"/>
    <w:uiPriority w:val="99"/>
    <w:unhideWhenUsed/>
    <w:rsid w:val="00FF4976"/>
    <w:pPr>
      <w:spacing w:after="0" w:line="240" w:lineRule="auto"/>
      <w:ind w:left="567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1"/>
    <w:uiPriority w:val="99"/>
    <w:rsid w:val="00FF4976"/>
    <w:rPr>
      <w:sz w:val="20"/>
      <w:szCs w:val="20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F4976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F4976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F4976"/>
    <w:rPr>
      <w:sz w:val="16"/>
      <w:szCs w:val="16"/>
    </w:rPr>
  </w:style>
  <w:style w:type="paragraph" w:customStyle="1" w:styleId="Textkomente1">
    <w:name w:val="Text komentáře1"/>
    <w:basedOn w:val="Normln"/>
    <w:next w:val="Textkomente"/>
    <w:link w:val="TextkomenteChar"/>
    <w:uiPriority w:val="99"/>
    <w:unhideWhenUsed/>
    <w:rsid w:val="00FF4976"/>
    <w:pPr>
      <w:spacing w:after="0" w:line="240" w:lineRule="auto"/>
      <w:ind w:left="567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1"/>
    <w:uiPriority w:val="99"/>
    <w:rsid w:val="00FF4976"/>
    <w:rPr>
      <w:sz w:val="20"/>
      <w:szCs w:val="20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F4976"/>
    <w:pPr>
      <w:spacing w:line="240" w:lineRule="auto"/>
    </w:pPr>
    <w:rPr>
      <w:sz w:val="20"/>
      <w:szCs w:val="20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FF497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969836-0952-48C6-8D54-427FCF0FC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Široký David, Bc., DiS.</dc:creator>
  <cp:lastModifiedBy>Široký David, Bc., DiS.</cp:lastModifiedBy>
  <cp:revision>4</cp:revision>
  <cp:lastPrinted>2019-07-23T12:38:00Z</cp:lastPrinted>
  <dcterms:created xsi:type="dcterms:W3CDTF">2019-07-22T11:33:00Z</dcterms:created>
  <dcterms:modified xsi:type="dcterms:W3CDTF">2019-07-23T12:38:00Z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